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68" w:rsidRPr="00B16E34" w:rsidRDefault="00DA3E7D" w:rsidP="00F87D68">
      <w:pPr>
        <w:spacing w:line="240" w:lineRule="auto"/>
        <w:ind w:left="-567" w:right="-143"/>
        <w:jc w:val="center"/>
        <w:rPr>
          <w:rFonts w:cstheme="minorHAnsi"/>
          <w:b/>
        </w:rPr>
      </w:pPr>
      <w:r w:rsidRPr="00B16E3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51743D4">
            <wp:simplePos x="0" y="0"/>
            <wp:positionH relativeFrom="margin">
              <wp:posOffset>-1080135</wp:posOffset>
            </wp:positionH>
            <wp:positionV relativeFrom="margin">
              <wp:posOffset>-727075</wp:posOffset>
            </wp:positionV>
            <wp:extent cx="7553960" cy="161988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Docs_D LA_e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D68" w:rsidRPr="00B16E34">
        <w:rPr>
          <w:rFonts w:cstheme="minorHAnsi"/>
          <w:b/>
        </w:rPr>
        <w:t xml:space="preserve">35+ major investment projects for </w:t>
      </w:r>
      <w:r w:rsidR="00B9569E" w:rsidRPr="00B16E34">
        <w:rPr>
          <w:rFonts w:cstheme="minorHAnsi"/>
          <w:b/>
        </w:rPr>
        <w:t>desalination plant construction</w:t>
      </w:r>
    </w:p>
    <w:p w:rsidR="0040711D" w:rsidRPr="00B16E34" w:rsidRDefault="003E5092" w:rsidP="00F87D68">
      <w:pPr>
        <w:spacing w:line="240" w:lineRule="auto"/>
        <w:ind w:left="-567" w:right="-143"/>
        <w:jc w:val="center"/>
        <w:rPr>
          <w:rFonts w:cstheme="minorHAnsi"/>
          <w:b/>
        </w:rPr>
      </w:pPr>
      <w:r w:rsidRPr="00B16E34">
        <w:rPr>
          <w:rFonts w:cstheme="minorHAnsi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F906" wp14:editId="45F8498D">
                <wp:simplePos x="0" y="0"/>
                <wp:positionH relativeFrom="column">
                  <wp:posOffset>-532737</wp:posOffset>
                </wp:positionH>
                <wp:positionV relativeFrom="paragraph">
                  <wp:posOffset>343342</wp:posOffset>
                </wp:positionV>
                <wp:extent cx="648126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F8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27.05pt" to="468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87D68" w:rsidRPr="00B16E34">
        <w:rPr>
          <w:rFonts w:cstheme="minorHAnsi"/>
          <w:b/>
        </w:rPr>
        <w:t xml:space="preserve">will be presented at the </w:t>
      </w:r>
      <w:r w:rsidR="00351F0C" w:rsidRPr="00B16E34">
        <w:rPr>
          <w:rFonts w:cstheme="minorHAnsi"/>
          <w:b/>
        </w:rPr>
        <w:t xml:space="preserve">International </w:t>
      </w:r>
      <w:r w:rsidRPr="00B16E34">
        <w:rPr>
          <w:rFonts w:cstheme="minorHAnsi"/>
          <w:b/>
        </w:rPr>
        <w:t>Investment</w:t>
      </w:r>
      <w:r w:rsidR="00351F0C" w:rsidRPr="00B16E34">
        <w:rPr>
          <w:rFonts w:cstheme="minorHAnsi"/>
          <w:b/>
        </w:rPr>
        <w:t xml:space="preserve"> Conference and Exhibition Desalination Latin America</w:t>
      </w:r>
    </w:p>
    <w:p w:rsidR="00F87D68" w:rsidRPr="00B16E34" w:rsidRDefault="00F87D68" w:rsidP="00F87D68">
      <w:pPr>
        <w:spacing w:line="240" w:lineRule="auto"/>
        <w:ind w:left="-567" w:right="-143"/>
        <w:jc w:val="center"/>
        <w:rPr>
          <w:rFonts w:cstheme="minorHAnsi"/>
          <w:b/>
        </w:rPr>
      </w:pPr>
    </w:p>
    <w:p w:rsidR="00351F0C" w:rsidRPr="00B16E34" w:rsidRDefault="00351F0C" w:rsidP="00351F0C">
      <w:pPr>
        <w:tabs>
          <w:tab w:val="left" w:pos="4563"/>
        </w:tabs>
        <w:spacing w:line="276" w:lineRule="auto"/>
        <w:ind w:right="-143" w:firstLine="284"/>
        <w:jc w:val="both"/>
        <w:rPr>
          <w:rFonts w:cstheme="minorHAnsi"/>
        </w:rPr>
      </w:pPr>
      <w:r w:rsidRPr="00B16E34">
        <w:rPr>
          <w:rFonts w:cstheme="minorHAnsi"/>
          <w:b/>
        </w:rPr>
        <w:t>Date:</w:t>
      </w:r>
      <w:r w:rsidRPr="00B16E34">
        <w:rPr>
          <w:rFonts w:cstheme="minorHAnsi"/>
        </w:rPr>
        <w:t xml:space="preserve"> 6-7 March 2019</w:t>
      </w:r>
    </w:p>
    <w:p w:rsidR="00351F0C" w:rsidRPr="00B16E34" w:rsidRDefault="00351F0C" w:rsidP="00351F0C">
      <w:pPr>
        <w:tabs>
          <w:tab w:val="left" w:pos="4563"/>
        </w:tabs>
        <w:spacing w:line="276" w:lineRule="auto"/>
        <w:ind w:right="-143" w:firstLine="284"/>
        <w:jc w:val="both"/>
        <w:rPr>
          <w:rFonts w:cstheme="minorHAnsi"/>
        </w:rPr>
      </w:pPr>
      <w:r w:rsidRPr="00B16E34">
        <w:rPr>
          <w:rFonts w:cstheme="minorHAnsi"/>
          <w:b/>
        </w:rPr>
        <w:t>Venue:</w:t>
      </w:r>
      <w:r w:rsidR="00B16E34">
        <w:rPr>
          <w:rFonts w:cstheme="minorHAnsi"/>
        </w:rPr>
        <w:t xml:space="preserve"> Santiago, Chile, </w:t>
      </w:r>
      <w:r w:rsidR="00B16E34">
        <w:rPr>
          <w:rFonts w:ascii="ArialNova" w:hAnsi="ArialNova"/>
          <w:color w:val="000000"/>
          <w:sz w:val="27"/>
          <w:szCs w:val="27"/>
        </w:rPr>
        <w:t> </w:t>
      </w:r>
      <w:hyperlink r:id="rId8" w:history="1">
        <w:r w:rsidR="00B16E34" w:rsidRPr="00B16E34">
          <w:rPr>
            <w:rStyle w:val="Hyperlink"/>
            <w:rFonts w:cstheme="minorHAnsi"/>
          </w:rPr>
          <w:t>NH Collection Plaza Santiago</w:t>
        </w:r>
      </w:hyperlink>
      <w:r w:rsidR="00B16E34" w:rsidRPr="00B16E34">
        <w:rPr>
          <w:rFonts w:cstheme="minorHAnsi"/>
          <w:color w:val="000000"/>
        </w:rPr>
        <w:t>.</w:t>
      </w:r>
      <w:r w:rsidRPr="00B16E34">
        <w:rPr>
          <w:rFonts w:cstheme="minorHAnsi"/>
        </w:rPr>
        <w:tab/>
      </w:r>
      <w:bookmarkStart w:id="0" w:name="_GoBack"/>
      <w:bookmarkEnd w:id="0"/>
    </w:p>
    <w:p w:rsidR="00351F0C" w:rsidRPr="00B16E34" w:rsidRDefault="00351F0C" w:rsidP="00351F0C">
      <w:pPr>
        <w:spacing w:line="276" w:lineRule="auto"/>
        <w:ind w:right="-143" w:firstLine="284"/>
        <w:jc w:val="both"/>
        <w:rPr>
          <w:rFonts w:cstheme="minorHAnsi"/>
        </w:rPr>
      </w:pPr>
      <w:r w:rsidRPr="00B16E34">
        <w:rPr>
          <w:rFonts w:cstheme="minorHAnsi"/>
          <w:b/>
        </w:rPr>
        <w:t>Organiser:</w:t>
      </w:r>
      <w:r w:rsidRPr="00B16E34">
        <w:rPr>
          <w:rFonts w:cstheme="minorHAnsi"/>
        </w:rPr>
        <w:t xml:space="preserve"> Vostock Capital</w:t>
      </w:r>
    </w:p>
    <w:p w:rsidR="00351F0C" w:rsidRPr="00B16E34" w:rsidRDefault="00351F0C" w:rsidP="00351F0C">
      <w:pPr>
        <w:spacing w:line="276" w:lineRule="auto"/>
        <w:ind w:right="-143" w:firstLine="284"/>
        <w:jc w:val="both"/>
        <w:rPr>
          <w:rFonts w:cstheme="minorHAnsi"/>
        </w:rPr>
      </w:pPr>
      <w:r w:rsidRPr="00B16E34">
        <w:rPr>
          <w:rFonts w:cstheme="minorHAnsi"/>
          <w:b/>
        </w:rPr>
        <w:t>Website</w:t>
      </w:r>
      <w:r w:rsidRPr="00B16E34">
        <w:rPr>
          <w:rFonts w:cstheme="minorHAnsi"/>
        </w:rPr>
        <w:t xml:space="preserve">: </w:t>
      </w:r>
      <w:hyperlink r:id="rId9" w:history="1">
        <w:r w:rsidRPr="00B16E34">
          <w:rPr>
            <w:rStyle w:val="Hyperlink"/>
            <w:rFonts w:cstheme="minorHAnsi"/>
          </w:rPr>
          <w:t>https://desalinationlatinamerica.com/</w:t>
        </w:r>
      </w:hyperlink>
      <w:r w:rsidRPr="00B16E34">
        <w:rPr>
          <w:rFonts w:cstheme="minorHAnsi"/>
        </w:rPr>
        <w:t xml:space="preserve"> </w:t>
      </w:r>
    </w:p>
    <w:p w:rsidR="00351F0C" w:rsidRPr="00B16E34" w:rsidRDefault="00B9569E" w:rsidP="00351F0C">
      <w:pPr>
        <w:spacing w:line="276" w:lineRule="auto"/>
        <w:ind w:right="-143"/>
        <w:jc w:val="both"/>
        <w:rPr>
          <w:rFonts w:cstheme="minorHAnsi"/>
        </w:rPr>
      </w:pPr>
      <w:r w:rsidRPr="00B16E34">
        <w:rPr>
          <w:rFonts w:cstheme="minorHAnsi"/>
        </w:rPr>
        <w:t xml:space="preserve">The </w:t>
      </w:r>
      <w:r w:rsidR="00351F0C" w:rsidRPr="00B16E34">
        <w:rPr>
          <w:rFonts w:cstheme="minorHAnsi"/>
        </w:rPr>
        <w:t xml:space="preserve">International </w:t>
      </w:r>
      <w:r w:rsidRPr="00B16E34">
        <w:rPr>
          <w:rFonts w:cstheme="minorHAnsi"/>
        </w:rPr>
        <w:t>Investment</w:t>
      </w:r>
      <w:r w:rsidR="00351F0C" w:rsidRPr="00B16E34">
        <w:rPr>
          <w:rFonts w:cstheme="minorHAnsi"/>
        </w:rPr>
        <w:t xml:space="preserve"> </w:t>
      </w:r>
      <w:r w:rsidRPr="00B16E34">
        <w:rPr>
          <w:rFonts w:cstheme="minorHAnsi"/>
        </w:rPr>
        <w:t>Conference</w:t>
      </w:r>
      <w:r w:rsidR="00351F0C" w:rsidRPr="00B16E34">
        <w:rPr>
          <w:rFonts w:cstheme="minorHAnsi"/>
        </w:rPr>
        <w:t xml:space="preserve"> and </w:t>
      </w:r>
      <w:r w:rsidRPr="00B16E34">
        <w:rPr>
          <w:rFonts w:cstheme="minorHAnsi"/>
        </w:rPr>
        <w:t>Exhibition</w:t>
      </w:r>
      <w:r w:rsidR="00351F0C" w:rsidRPr="00B16E34">
        <w:rPr>
          <w:rFonts w:cstheme="minorHAnsi"/>
        </w:rPr>
        <w:t xml:space="preserve"> “DESALINATION LATIN AMERICA” is the </w:t>
      </w:r>
      <w:r w:rsidRPr="00B16E34">
        <w:rPr>
          <w:rFonts w:cstheme="minorHAnsi"/>
        </w:rPr>
        <w:t>sole</w:t>
      </w:r>
      <w:r w:rsidR="00351F0C" w:rsidRPr="00B16E34">
        <w:rPr>
          <w:rFonts w:cstheme="minorHAnsi"/>
        </w:rPr>
        <w:t xml:space="preserve"> business </w:t>
      </w:r>
      <w:r w:rsidRPr="00B16E34">
        <w:rPr>
          <w:rFonts w:cstheme="minorHAnsi"/>
        </w:rPr>
        <w:t>venue</w:t>
      </w:r>
      <w:r w:rsidR="00351F0C" w:rsidRPr="00B16E34">
        <w:rPr>
          <w:rFonts w:cstheme="minorHAnsi"/>
        </w:rPr>
        <w:t xml:space="preserve"> for developing effective strategies, sharing experiences, presenting new investment projects and innovations, </w:t>
      </w:r>
      <w:r w:rsidRPr="00B16E34">
        <w:rPr>
          <w:rFonts w:cstheme="minorHAnsi"/>
        </w:rPr>
        <w:t xml:space="preserve">and </w:t>
      </w:r>
      <w:r w:rsidR="00351F0C" w:rsidRPr="00B16E34">
        <w:rPr>
          <w:rFonts w:cstheme="minorHAnsi"/>
        </w:rPr>
        <w:t xml:space="preserve">consolidating </w:t>
      </w:r>
      <w:r w:rsidR="002E03C5" w:rsidRPr="00B16E34">
        <w:rPr>
          <w:rFonts w:cstheme="minorHAnsi"/>
        </w:rPr>
        <w:t xml:space="preserve">government and business </w:t>
      </w:r>
      <w:r w:rsidR="00351F0C" w:rsidRPr="00B16E34">
        <w:rPr>
          <w:rFonts w:cstheme="minorHAnsi"/>
        </w:rPr>
        <w:t>efforts to implement desalination projects and increase water supplies all over Latin America.</w:t>
      </w:r>
    </w:p>
    <w:p w:rsidR="00B16E34" w:rsidRPr="00B16E34" w:rsidRDefault="00B16E34" w:rsidP="00B16E34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b/>
          <w:color w:val="000000"/>
          <w:sz w:val="21"/>
          <w:szCs w:val="21"/>
          <w:lang w:eastAsia="en-GB"/>
        </w:rPr>
      </w:pPr>
      <w:r w:rsidRPr="00B16E34">
        <w:rPr>
          <w:rFonts w:eastAsia="Times New Roman" w:cstheme="minorHAnsi"/>
          <w:b/>
          <w:color w:val="000000"/>
          <w:sz w:val="21"/>
          <w:szCs w:val="21"/>
          <w:u w:val="single"/>
          <w:lang w:eastAsia="en-GB"/>
        </w:rPr>
        <w:t>Facts and Figures for Desalination Latin America 2019: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200+ decision-makers of desalination industry from all over Latin America – Chile, Peru, Mexico, Colombia, Panama, etc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, as well as government officials, regulatory bodies, project owners, technology and service providers, international and local investors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Important! Permits - how to accelerate the process? Ask your burning questions to governments of Chile, Peru, Mexico and their regulatory bodies!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Presentation of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20+ large-scale investment desalination projects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to be implemented within 2020-2025 from all Latin America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COUNTRY ROUND TABLES on desalination projects in Chile, Peru and Mexico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– learn about governments plans, their desalination projects and ways to successfully do business in these countries!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Among VIP guests: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Jorge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Geldres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(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Bacigalupo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Ministerio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de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Economía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,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Fomento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y Turismo de Chile - 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Oficina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Gestión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de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Proyectos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Sustentables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- Minister’s Adviser),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Oscar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Cristi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(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Ministerio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de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Obras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Publicas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Chile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- General Water Director), 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Ricardo Cisneros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(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Comición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Estatal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de Agua de Baja California México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-President),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Pedro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Ducci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(Andes Iron – CFO),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Rodrigo Silva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(ENAPAC Trends Industrial – CEO),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José N. De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Pierola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Canales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(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Southern Peru Copper Corp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- Water Resources Director),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Jose Antonio Ramirez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(CKC Chile – Director), 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Vasilis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Fthenakis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 (Columbia University - Director,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Center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for Life Cycle Analysis),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Tom Pankratz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(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Global Water Intelligence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- Editor and consultant),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Humberto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Catacora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(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Unión de la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Cervecerías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Peruanas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Backus &amp;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Johnston - Regional Quality Manager)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Exclusive exhibition and showcase of technologies,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delivered by innovative technological companies Including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Suez, Dow Chemical Company, GS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Inima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,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Fitchner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, Cobra,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Poyry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,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Tedagua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, ABB, Rotork, LG,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and more</w:t>
      </w:r>
    </w:p>
    <w:p w:rsidR="00B16E34" w:rsidRPr="00B16E34" w:rsidRDefault="00B16E34" w:rsidP="00B16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Unprecedented networking opportunities! 1-2-1 business meetings, networking round tables, cocktail reception, interactive discussions. Use this opportunity to exchange business cards with ALL conference participants!</w:t>
      </w:r>
    </w:p>
    <w:p w:rsidR="00B16E34" w:rsidRDefault="00B16E34" w:rsidP="00B16E34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sz w:val="21"/>
          <w:szCs w:val="21"/>
          <w:lang w:eastAsia="en-GB"/>
        </w:rPr>
      </w:pPr>
    </w:p>
    <w:p w:rsidR="00B16E34" w:rsidRPr="00B16E34" w:rsidRDefault="00B16E34" w:rsidP="00B16E34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sz w:val="21"/>
          <w:szCs w:val="21"/>
          <w:u w:val="single"/>
          <w:lang w:eastAsia="en-GB"/>
        </w:rPr>
      </w:pP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lastRenderedPageBreak/>
        <w:br/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  <w:t>Among VIP Guests and Speakers: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es-ES"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Jorge Geldres Bacigalupo</w:t>
      </w:r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 xml:space="preserve">,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Minister’s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 xml:space="preserve">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Adviser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Oficina Gestión de Proyectos Sustentables (GPS), Ministerio de Economía, Fomento y Turismo de Chile</w:t>
      </w:r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.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Oscar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Cristi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, General Water Director, 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Ministerio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de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Obras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Publicas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Chile.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es-ES"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Ricardo Cisneros, 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President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 xml:space="preserve">,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Comición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 xml:space="preserve"> Estatal de Agua de Baja California, México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Pedro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Ducci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,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 CFO,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Andes Iron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pt-BR"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pt-BR" w:eastAsia="en-GB"/>
        </w:rPr>
        <w:t>Rodrigo Silva,</w:t>
      </w:r>
      <w:r w:rsidRPr="00B16E34">
        <w:rPr>
          <w:rFonts w:eastAsia="Times New Roman" w:cstheme="minorHAnsi"/>
          <w:color w:val="000000"/>
          <w:sz w:val="21"/>
          <w:szCs w:val="21"/>
          <w:lang w:val="pt-BR" w:eastAsia="en-GB"/>
        </w:rPr>
        <w:t> CEO,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pt-BR" w:eastAsia="en-GB"/>
        </w:rPr>
        <w:t>ENAPAC </w:t>
      </w:r>
      <w:r w:rsidRPr="00B16E34">
        <w:rPr>
          <w:rFonts w:eastAsia="Times New Roman" w:cstheme="minorHAnsi"/>
          <w:color w:val="000000"/>
          <w:sz w:val="21"/>
          <w:szCs w:val="21"/>
          <w:lang w:val="pt-BR" w:eastAsia="en-GB"/>
        </w:rPr>
        <w:t>(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pt-BR" w:eastAsia="en-GB"/>
        </w:rPr>
        <w:t>Trends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pt-BR" w:eastAsia="en-GB"/>
        </w:rPr>
        <w:t xml:space="preserve"> Industrial)      </w:t>
      </w:r>
      <w:r w:rsidRPr="00B16E34">
        <w:rPr>
          <w:rFonts w:eastAsia="Times New Roman" w:cstheme="minorHAnsi"/>
          <w:color w:val="000000"/>
          <w:sz w:val="21"/>
          <w:szCs w:val="21"/>
          <w:lang w:val="pt-BR" w:eastAsia="en-GB"/>
        </w:rPr>
        <w:t>           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José N. De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Pierola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 Canales,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Water Resources Director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, Southern Peru Copper Corp.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es-ES" w:eastAsia="en-GB"/>
        </w:rPr>
      </w:pP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Jose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 xml:space="preserve"> Antonio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Ramirez</w:t>
      </w:r>
      <w:proofErr w:type="spellEnd"/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, </w:t>
      </w:r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Director,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CKC Chile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Vasilis </w:t>
      </w:r>
      <w:proofErr w:type="spellStart"/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Fthenakis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, Director,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Center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for Life Cycle Analysis, 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Columbia University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Tom Pankratz, </w:t>
      </w:r>
      <w:r w:rsidRPr="00B16E34">
        <w:rPr>
          <w:rFonts w:eastAsia="Times New Roman" w:cstheme="minorHAnsi"/>
          <w:color w:val="000000"/>
          <w:sz w:val="21"/>
          <w:szCs w:val="21"/>
          <w:lang w:eastAsia="en-GB"/>
        </w:rPr>
        <w:t>Editor and consultant,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 Global Water Intelligence</w:t>
      </w:r>
    </w:p>
    <w:p w:rsidR="00B16E34" w:rsidRPr="00B16E34" w:rsidRDefault="00B16E34" w:rsidP="00B16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es-ES" w:eastAsia="en-GB"/>
        </w:rPr>
      </w:pP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Humberto Catacora, </w:t>
      </w:r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 xml:space="preserve">Regional </w:t>
      </w:r>
      <w:proofErr w:type="spellStart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>Quality</w:t>
      </w:r>
      <w:proofErr w:type="spellEnd"/>
      <w:r w:rsidRPr="00B16E34">
        <w:rPr>
          <w:rFonts w:eastAsia="Times New Roman" w:cstheme="minorHAnsi"/>
          <w:color w:val="000000"/>
          <w:sz w:val="21"/>
          <w:szCs w:val="21"/>
          <w:lang w:val="es-ES" w:eastAsia="en-GB"/>
        </w:rPr>
        <w:t xml:space="preserve"> Manager</w:t>
      </w:r>
      <w:r w:rsidRPr="00B16E34">
        <w:rPr>
          <w:rFonts w:eastAsia="Times New Roman" w:cstheme="minorHAnsi"/>
          <w:b/>
          <w:bCs/>
          <w:color w:val="000000"/>
          <w:sz w:val="21"/>
          <w:szCs w:val="21"/>
          <w:lang w:val="es-ES" w:eastAsia="en-GB"/>
        </w:rPr>
        <w:t>, Unión de la Cervecerías Peruanas Backus &amp; Johnston.</w:t>
      </w:r>
    </w:p>
    <w:p w:rsidR="00351F0C" w:rsidRPr="00B16E34" w:rsidRDefault="00351F0C" w:rsidP="003E5092">
      <w:pPr>
        <w:spacing w:after="0" w:line="240" w:lineRule="auto"/>
        <w:ind w:right="-143"/>
        <w:jc w:val="both"/>
        <w:rPr>
          <w:rFonts w:cstheme="minorHAnsi"/>
        </w:rPr>
      </w:pPr>
      <w:r w:rsidRPr="00B16E34">
        <w:rPr>
          <w:rFonts w:cstheme="minorHAnsi"/>
          <w:b/>
        </w:rPr>
        <w:t>Contact</w:t>
      </w:r>
      <w:r w:rsidRPr="00B16E34">
        <w:rPr>
          <w:rFonts w:cstheme="minorHAnsi"/>
        </w:rPr>
        <w:t xml:space="preserve">: Ana Uzcanga, Conference </w:t>
      </w:r>
      <w:r w:rsidR="00B9569E" w:rsidRPr="00B16E34">
        <w:rPr>
          <w:rFonts w:cstheme="minorHAnsi"/>
        </w:rPr>
        <w:t>Producer</w:t>
      </w:r>
    </w:p>
    <w:p w:rsidR="00351F0C" w:rsidRPr="00B16E34" w:rsidRDefault="00351F0C" w:rsidP="003E5092">
      <w:pPr>
        <w:spacing w:after="0" w:line="240" w:lineRule="auto"/>
        <w:ind w:right="-143"/>
        <w:jc w:val="both"/>
        <w:rPr>
          <w:rFonts w:cstheme="minorHAnsi"/>
        </w:rPr>
      </w:pPr>
      <w:r w:rsidRPr="00B16E34">
        <w:rPr>
          <w:rFonts w:cstheme="minorHAnsi"/>
          <w:b/>
        </w:rPr>
        <w:t>Tel</w:t>
      </w:r>
      <w:r w:rsidRPr="00B16E34">
        <w:rPr>
          <w:rFonts w:cstheme="minorHAnsi"/>
        </w:rPr>
        <w:t>.: +44 207 394 30 90 (London)</w:t>
      </w:r>
    </w:p>
    <w:p w:rsidR="00351F0C" w:rsidRPr="00B16E34" w:rsidRDefault="00351F0C" w:rsidP="003E5092">
      <w:pPr>
        <w:spacing w:after="0" w:line="240" w:lineRule="auto"/>
        <w:ind w:right="-143"/>
        <w:jc w:val="both"/>
        <w:rPr>
          <w:rFonts w:cstheme="minorHAnsi"/>
        </w:rPr>
      </w:pPr>
      <w:r w:rsidRPr="00B16E34">
        <w:rPr>
          <w:rFonts w:cstheme="minorHAnsi"/>
          <w:b/>
        </w:rPr>
        <w:t>E-mail</w:t>
      </w:r>
      <w:r w:rsidR="001F4A70" w:rsidRPr="00B16E34">
        <w:rPr>
          <w:rFonts w:cstheme="minorHAnsi"/>
        </w:rPr>
        <w:t xml:space="preserve">: </w:t>
      </w:r>
      <w:hyperlink r:id="rId10" w:history="1">
        <w:r w:rsidR="001F4A70" w:rsidRPr="00B16E34">
          <w:rPr>
            <w:rStyle w:val="Hyperlink"/>
            <w:rFonts w:cstheme="minorHAnsi"/>
          </w:rPr>
          <w:t>AUzcanga@vostockcapital.com</w:t>
        </w:r>
      </w:hyperlink>
      <w:r w:rsidR="001F4A70" w:rsidRPr="00B16E34">
        <w:rPr>
          <w:rFonts w:cstheme="minorHAnsi"/>
        </w:rPr>
        <w:t xml:space="preserve"> </w:t>
      </w:r>
    </w:p>
    <w:p w:rsidR="00351F0C" w:rsidRPr="00B16E34" w:rsidRDefault="00351F0C" w:rsidP="003E5092">
      <w:pPr>
        <w:spacing w:after="0" w:line="240" w:lineRule="auto"/>
        <w:ind w:right="-143"/>
        <w:jc w:val="both"/>
        <w:rPr>
          <w:rFonts w:cstheme="minorHAnsi"/>
        </w:rPr>
      </w:pPr>
      <w:r w:rsidRPr="00B16E34">
        <w:rPr>
          <w:rFonts w:cstheme="minorHAnsi"/>
          <w:b/>
        </w:rPr>
        <w:t>Website</w:t>
      </w:r>
      <w:r w:rsidRPr="00B16E34">
        <w:rPr>
          <w:rFonts w:cstheme="minorHAnsi"/>
        </w:rPr>
        <w:t xml:space="preserve">: </w:t>
      </w:r>
      <w:hyperlink r:id="rId11" w:history="1">
        <w:r w:rsidR="003E5092" w:rsidRPr="00B16E34">
          <w:rPr>
            <w:rStyle w:val="Hyperlink"/>
            <w:rFonts w:cstheme="minorHAnsi"/>
          </w:rPr>
          <w:t>https://desalinationlatinamerica.com/</w:t>
        </w:r>
      </w:hyperlink>
      <w:r w:rsidR="003E5092" w:rsidRPr="00B16E34">
        <w:rPr>
          <w:rFonts w:cstheme="minorHAnsi"/>
        </w:rPr>
        <w:t xml:space="preserve"> </w:t>
      </w:r>
    </w:p>
    <w:sectPr w:rsidR="00351F0C" w:rsidRPr="00B16E34" w:rsidSect="00351F0C">
      <w:headerReference w:type="default" r:id="rId12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86" w:rsidRDefault="00485186" w:rsidP="00485186">
      <w:pPr>
        <w:spacing w:after="0" w:line="240" w:lineRule="auto"/>
      </w:pPr>
      <w:r>
        <w:separator/>
      </w:r>
    </w:p>
  </w:endnote>
  <w:endnote w:type="continuationSeparator" w:id="0">
    <w:p w:rsidR="00485186" w:rsidRDefault="00485186" w:rsidP="0048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No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86" w:rsidRDefault="00485186" w:rsidP="00485186">
      <w:pPr>
        <w:spacing w:after="0" w:line="240" w:lineRule="auto"/>
      </w:pPr>
      <w:r>
        <w:separator/>
      </w:r>
    </w:p>
  </w:footnote>
  <w:footnote w:type="continuationSeparator" w:id="0">
    <w:p w:rsidR="00485186" w:rsidRDefault="00485186" w:rsidP="0048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86" w:rsidRDefault="00485186" w:rsidP="00351F0C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997"/>
    <w:multiLevelType w:val="multilevel"/>
    <w:tmpl w:val="413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371E1"/>
    <w:multiLevelType w:val="hybridMultilevel"/>
    <w:tmpl w:val="29C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79D"/>
    <w:multiLevelType w:val="multilevel"/>
    <w:tmpl w:val="C4E4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4965"/>
    <w:multiLevelType w:val="multilevel"/>
    <w:tmpl w:val="C5C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7099D"/>
    <w:multiLevelType w:val="multilevel"/>
    <w:tmpl w:val="E31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3AB8"/>
    <w:multiLevelType w:val="hybridMultilevel"/>
    <w:tmpl w:val="BE32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D"/>
    <w:rsid w:val="001F4A70"/>
    <w:rsid w:val="002E03C5"/>
    <w:rsid w:val="00305657"/>
    <w:rsid w:val="00351F0C"/>
    <w:rsid w:val="003E5092"/>
    <w:rsid w:val="0040711D"/>
    <w:rsid w:val="00485186"/>
    <w:rsid w:val="00495D26"/>
    <w:rsid w:val="00774491"/>
    <w:rsid w:val="008E609D"/>
    <w:rsid w:val="00A50B13"/>
    <w:rsid w:val="00B16E34"/>
    <w:rsid w:val="00B9569E"/>
    <w:rsid w:val="00DA3E7D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A4F98"/>
  <w15:chartTrackingRefBased/>
  <w15:docId w15:val="{49EBE87F-0B4C-4DCE-A20C-C59B2FCB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86"/>
  </w:style>
  <w:style w:type="paragraph" w:styleId="Footer">
    <w:name w:val="footer"/>
    <w:basedOn w:val="Normal"/>
    <w:link w:val="FooterChar"/>
    <w:uiPriority w:val="99"/>
    <w:unhideWhenUsed/>
    <w:rsid w:val="0048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86"/>
  </w:style>
  <w:style w:type="character" w:styleId="Hyperlink">
    <w:name w:val="Hyperlink"/>
    <w:basedOn w:val="DefaultParagraphFont"/>
    <w:uiPriority w:val="99"/>
    <w:unhideWhenUsed/>
    <w:rsid w:val="0035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F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1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D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9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-collection.com/hotel/nh-collection-plaza-santia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alinationlatinameric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zcanga@vostockca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alinationlatinamer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FD72048B</Template>
  <TotalTime>54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Gorbunova</dc:creator>
  <cp:keywords/>
  <dc:description/>
  <cp:lastModifiedBy>Elena Kail</cp:lastModifiedBy>
  <cp:revision>8</cp:revision>
  <dcterms:created xsi:type="dcterms:W3CDTF">2018-10-25T07:29:00Z</dcterms:created>
  <dcterms:modified xsi:type="dcterms:W3CDTF">2019-03-01T13:39:00Z</dcterms:modified>
</cp:coreProperties>
</file>